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653741">
            <w:pPr>
              <w:rPr>
                <w:b/>
                <w:szCs w:val="22"/>
              </w:rPr>
            </w:pPr>
            <w:r>
              <w:rPr>
                <w:b/>
                <w:szCs w:val="22"/>
              </w:rPr>
              <w:t>İHALE DOSYA NO:</w:t>
            </w:r>
            <w:r w:rsidR="0042172F">
              <w:rPr>
                <w:b/>
                <w:szCs w:val="22"/>
              </w:rPr>
              <w:t xml:space="preserve"> 201</w:t>
            </w:r>
            <w:r w:rsidR="00653741">
              <w:rPr>
                <w:b/>
                <w:szCs w:val="22"/>
              </w:rPr>
              <w:t>8</w:t>
            </w:r>
            <w:r w:rsidR="00234E40">
              <w:rPr>
                <w:b/>
                <w:szCs w:val="22"/>
              </w:rPr>
              <w:t>-</w:t>
            </w:r>
            <w:r w:rsidR="00D178E9">
              <w:rPr>
                <w:b/>
                <w:szCs w:val="22"/>
              </w:rPr>
              <w:t>26</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D178E9"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D178E9"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D178E9" w:rsidP="00345D84">
            <w:r>
              <w:t>Doğancılar</w:t>
            </w:r>
          </w:p>
        </w:tc>
        <w:tc>
          <w:tcPr>
            <w:tcW w:w="1985" w:type="dxa"/>
          </w:tcPr>
          <w:p w:rsidR="003A278C" w:rsidRDefault="003A278C" w:rsidP="00345D84">
            <w:r>
              <w:t>Ada No</w:t>
            </w:r>
          </w:p>
        </w:tc>
        <w:tc>
          <w:tcPr>
            <w:tcW w:w="2976" w:type="dxa"/>
          </w:tcPr>
          <w:p w:rsidR="003A278C" w:rsidRDefault="00D178E9"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D178E9"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D178E9" w:rsidP="00345D84">
            <w:r>
              <w:t>Kahvehane</w:t>
            </w:r>
          </w:p>
        </w:tc>
        <w:tc>
          <w:tcPr>
            <w:tcW w:w="1985" w:type="dxa"/>
          </w:tcPr>
          <w:p w:rsidR="003A278C" w:rsidRDefault="003A278C" w:rsidP="00345D84"/>
        </w:tc>
        <w:tc>
          <w:tcPr>
            <w:tcW w:w="2976" w:type="dxa"/>
          </w:tcPr>
          <w:p w:rsidR="003A278C" w:rsidRDefault="003A278C" w:rsidP="00603B01"/>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559"/>
        <w:gridCol w:w="2126"/>
        <w:gridCol w:w="2268"/>
        <w:gridCol w:w="1985"/>
      </w:tblGrid>
      <w:tr w:rsidR="008F7295" w:rsidRPr="00945806" w:rsidTr="00135192">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135192">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D178E9" w:rsidP="0046334F">
            <w:pPr>
              <w:jc w:val="center"/>
              <w:rPr>
                <w:bCs/>
                <w:sz w:val="20"/>
              </w:rPr>
            </w:pPr>
            <w:r>
              <w:rPr>
                <w:bCs/>
                <w:sz w:val="20"/>
              </w:rPr>
              <w:t>100,00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D178E9" w:rsidP="008F7295">
            <w:pPr>
              <w:jc w:val="center"/>
              <w:rPr>
                <w:bCs/>
                <w:sz w:val="20"/>
              </w:rPr>
            </w:pPr>
            <w:r>
              <w:rPr>
                <w:bCs/>
                <w:sz w:val="20"/>
              </w:rPr>
              <w:t>3.600,00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D178E9" w:rsidP="008F7295">
            <w:pPr>
              <w:jc w:val="center"/>
              <w:rPr>
                <w:bCs/>
                <w:sz w:val="20"/>
              </w:rPr>
            </w:pPr>
            <w:r>
              <w:rPr>
                <w:bCs/>
                <w:sz w:val="20"/>
              </w:rPr>
              <w:t>108,00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D178E9" w:rsidP="003A278C">
      <w:pPr>
        <w:ind w:firstLine="708"/>
        <w:jc w:val="both"/>
        <w:rPr>
          <w:bCs/>
          <w:sz w:val="22"/>
          <w:szCs w:val="22"/>
        </w:rPr>
      </w:pPr>
      <w:r>
        <w:rPr>
          <w:sz w:val="22"/>
          <w:szCs w:val="22"/>
        </w:rPr>
        <w:t>Tasarrufu</w:t>
      </w:r>
      <w:r w:rsidR="00603B01">
        <w:rPr>
          <w:sz w:val="22"/>
          <w:szCs w:val="22"/>
        </w:rPr>
        <w:t xml:space="preserve"> Belediyemize ait </w:t>
      </w:r>
      <w:r>
        <w:rPr>
          <w:sz w:val="22"/>
          <w:szCs w:val="22"/>
        </w:rPr>
        <w:t>Doğancılar</w:t>
      </w:r>
      <w:r w:rsidR="00603B01">
        <w:rPr>
          <w:sz w:val="22"/>
          <w:szCs w:val="22"/>
        </w:rPr>
        <w:t xml:space="preserve"> Mahallesi</w:t>
      </w:r>
      <w:r w:rsidR="00653741">
        <w:rPr>
          <w:sz w:val="22"/>
          <w:szCs w:val="22"/>
        </w:rPr>
        <w:t xml:space="preserve"> </w:t>
      </w:r>
      <w:r>
        <w:rPr>
          <w:sz w:val="22"/>
          <w:szCs w:val="22"/>
        </w:rPr>
        <w:t xml:space="preserve">958-959 </w:t>
      </w:r>
      <w:proofErr w:type="spellStart"/>
      <w:r>
        <w:rPr>
          <w:sz w:val="22"/>
          <w:szCs w:val="22"/>
        </w:rPr>
        <w:t>nolu</w:t>
      </w:r>
      <w:proofErr w:type="spellEnd"/>
      <w:r>
        <w:rPr>
          <w:sz w:val="22"/>
          <w:szCs w:val="22"/>
        </w:rPr>
        <w:t xml:space="preserve"> parselin önünde kalan Kahvehanenin,</w:t>
      </w:r>
      <w:r w:rsidR="00653741">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686D9D">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w:t>
      </w:r>
      <w:r w:rsidR="002F5497" w:rsidRPr="002F5497">
        <w:rPr>
          <w:sz w:val="22"/>
          <w:szCs w:val="22"/>
        </w:rPr>
        <w:t xml:space="preserve"> </w:t>
      </w:r>
      <w:r w:rsidR="002F5497">
        <w:rPr>
          <w:sz w:val="22"/>
          <w:szCs w:val="22"/>
        </w:rPr>
        <w:t xml:space="preserve">Adapazarı Belediye Encümeninin yazılı </w:t>
      </w:r>
      <w:proofErr w:type="spellStart"/>
      <w:r w:rsidR="002F5497">
        <w:rPr>
          <w:sz w:val="22"/>
          <w:szCs w:val="22"/>
        </w:rPr>
        <w:t>muvafakatını</w:t>
      </w:r>
      <w:proofErr w:type="spellEnd"/>
      <w:r w:rsidR="002F5497">
        <w:rPr>
          <w:sz w:val="22"/>
          <w:szCs w:val="22"/>
        </w:rPr>
        <w:t xml:space="preserve"> almadan</w:t>
      </w:r>
      <w:r w:rsidRPr="002B4CA1">
        <w:rPr>
          <w:sz w:val="22"/>
          <w:szCs w:val="22"/>
        </w:rPr>
        <w:t xml:space="preserve">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DD1C24" w:rsidRDefault="00DD1C24" w:rsidP="00DD1C24">
      <w:pPr>
        <w:jc w:val="both"/>
        <w:rPr>
          <w:sz w:val="22"/>
          <w:szCs w:val="22"/>
        </w:rPr>
      </w:pPr>
      <w:r>
        <w:rPr>
          <w:sz w:val="22"/>
          <w:szCs w:val="22"/>
        </w:rPr>
        <w:t xml:space="preserve">           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9812D5" w:rsidRDefault="009812D5" w:rsidP="00DD1C24">
      <w:pPr>
        <w:jc w:val="both"/>
        <w:rPr>
          <w:sz w:val="22"/>
          <w:szCs w:val="22"/>
        </w:rPr>
      </w:pPr>
    </w:p>
    <w:p w:rsidR="009812D5" w:rsidRDefault="009812D5" w:rsidP="00DD1C24">
      <w:pPr>
        <w:jc w:val="both"/>
        <w:rPr>
          <w:sz w:val="22"/>
          <w:szCs w:val="22"/>
        </w:rPr>
      </w:pPr>
    </w:p>
    <w:p w:rsidR="009812D5" w:rsidRPr="00500B65" w:rsidRDefault="009812D5"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w:t>
      </w:r>
      <w:r w:rsidR="002F5497">
        <w:rPr>
          <w:rFonts w:ascii="Times New Roman" w:hAnsi="Times New Roman" w:cs="Times New Roman"/>
          <w:sz w:val="22"/>
          <w:szCs w:val="22"/>
        </w:rPr>
        <w:t xml:space="preserve"> </w:t>
      </w:r>
      <w:r w:rsidR="009812D5">
        <w:rPr>
          <w:rFonts w:ascii="Times New Roman" w:hAnsi="Times New Roman" w:cs="Times New Roman"/>
          <w:sz w:val="22"/>
          <w:szCs w:val="22"/>
        </w:rPr>
        <w:t>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686D9D">
        <w:rPr>
          <w:b/>
          <w:sz w:val="22"/>
          <w:szCs w:val="22"/>
        </w:rPr>
        <w:t xml:space="preserve"> ../..</w:t>
      </w:r>
      <w:r w:rsidR="002F5497">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2F5497" w:rsidRDefault="002F5497" w:rsidP="009812D5">
      <w:pPr>
        <w:ind w:firstLine="708"/>
        <w:jc w:val="both"/>
        <w:rPr>
          <w:b/>
          <w:sz w:val="20"/>
        </w:rPr>
      </w:pPr>
    </w:p>
    <w:p w:rsidR="009812D5" w:rsidRDefault="00686D9D" w:rsidP="009812D5">
      <w:pPr>
        <w:ind w:firstLine="708"/>
        <w:jc w:val="both"/>
        <w:rPr>
          <w:b/>
          <w:sz w:val="22"/>
          <w:szCs w:val="22"/>
        </w:rPr>
      </w:pPr>
      <w:r>
        <w:rPr>
          <w:b/>
          <w:sz w:val="22"/>
          <w:szCs w:val="22"/>
        </w:rPr>
        <w:t>../..</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9812D5" w:rsidRDefault="009812D5" w:rsidP="009812D5">
      <w:pPr>
        <w:spacing w:line="360" w:lineRule="auto"/>
        <w:jc w:val="both"/>
      </w:pPr>
      <w:r>
        <w:rPr>
          <w:b/>
          <w:bCs/>
          <w:iCs/>
          <w:sz w:val="22"/>
          <w:szCs w:val="22"/>
        </w:rPr>
        <w:t>İmza   :</w:t>
      </w:r>
    </w:p>
    <w:p w:rsidR="00C6661B" w:rsidRPr="002B4CA1" w:rsidRDefault="00C6661B" w:rsidP="009812D5">
      <w:pPr>
        <w:jc w:val="center"/>
        <w:rPr>
          <w:b/>
          <w:sz w:val="22"/>
          <w:szCs w:val="22"/>
        </w:rPr>
      </w:pPr>
    </w:p>
    <w:p w:rsidR="005B7EF7" w:rsidRPr="000016AB" w:rsidRDefault="005B7EF7" w:rsidP="003A278C">
      <w:pPr>
        <w:ind w:firstLine="708"/>
        <w:jc w:val="both"/>
        <w:rPr>
          <w:b/>
          <w:sz w:val="22"/>
          <w:szCs w:val="22"/>
        </w:rPr>
      </w:pPr>
    </w:p>
    <w:p w:rsidR="003A278C" w:rsidRDefault="003A278C" w:rsidP="003A278C"/>
    <w:sectPr w:rsidR="003A278C" w:rsidSect="009812D5">
      <w:pgSz w:w="11906" w:h="16838"/>
      <w:pgMar w:top="426"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3703"/>
    <w:rsid w:val="00040B29"/>
    <w:rsid w:val="000B534C"/>
    <w:rsid w:val="000B7AF1"/>
    <w:rsid w:val="000C5280"/>
    <w:rsid w:val="00135192"/>
    <w:rsid w:val="001616B5"/>
    <w:rsid w:val="00234E40"/>
    <w:rsid w:val="00262038"/>
    <w:rsid w:val="00290916"/>
    <w:rsid w:val="002B571A"/>
    <w:rsid w:val="002D75E3"/>
    <w:rsid w:val="002F5497"/>
    <w:rsid w:val="002F6CEA"/>
    <w:rsid w:val="00330D7B"/>
    <w:rsid w:val="00341146"/>
    <w:rsid w:val="00351B65"/>
    <w:rsid w:val="00364833"/>
    <w:rsid w:val="003A01BC"/>
    <w:rsid w:val="003A278C"/>
    <w:rsid w:val="003D5F24"/>
    <w:rsid w:val="003E0C72"/>
    <w:rsid w:val="00400BBA"/>
    <w:rsid w:val="0042172F"/>
    <w:rsid w:val="0043468E"/>
    <w:rsid w:val="004440D2"/>
    <w:rsid w:val="0046334F"/>
    <w:rsid w:val="0047185B"/>
    <w:rsid w:val="004B1C83"/>
    <w:rsid w:val="00536EF2"/>
    <w:rsid w:val="00577AC9"/>
    <w:rsid w:val="005812DB"/>
    <w:rsid w:val="0059647A"/>
    <w:rsid w:val="005B7EF7"/>
    <w:rsid w:val="005C5802"/>
    <w:rsid w:val="005D320C"/>
    <w:rsid w:val="00603B01"/>
    <w:rsid w:val="00621022"/>
    <w:rsid w:val="006318A1"/>
    <w:rsid w:val="0063511A"/>
    <w:rsid w:val="00641082"/>
    <w:rsid w:val="00646837"/>
    <w:rsid w:val="00653741"/>
    <w:rsid w:val="00653DD4"/>
    <w:rsid w:val="00670CDF"/>
    <w:rsid w:val="00686D9D"/>
    <w:rsid w:val="006E7FF6"/>
    <w:rsid w:val="006F1573"/>
    <w:rsid w:val="007823A3"/>
    <w:rsid w:val="00795568"/>
    <w:rsid w:val="007D5BA5"/>
    <w:rsid w:val="007F4EF9"/>
    <w:rsid w:val="007F5D6F"/>
    <w:rsid w:val="00854CF8"/>
    <w:rsid w:val="00870768"/>
    <w:rsid w:val="008F7295"/>
    <w:rsid w:val="009812D5"/>
    <w:rsid w:val="00A046C7"/>
    <w:rsid w:val="00A43794"/>
    <w:rsid w:val="00A6160C"/>
    <w:rsid w:val="00B26E7A"/>
    <w:rsid w:val="00BA2464"/>
    <w:rsid w:val="00BA389E"/>
    <w:rsid w:val="00BC5067"/>
    <w:rsid w:val="00BE0184"/>
    <w:rsid w:val="00BE3784"/>
    <w:rsid w:val="00BE3EF6"/>
    <w:rsid w:val="00BF5F57"/>
    <w:rsid w:val="00C35F10"/>
    <w:rsid w:val="00C46761"/>
    <w:rsid w:val="00C64749"/>
    <w:rsid w:val="00C655CD"/>
    <w:rsid w:val="00C6661B"/>
    <w:rsid w:val="00C77041"/>
    <w:rsid w:val="00D05D83"/>
    <w:rsid w:val="00D178E9"/>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1540</Words>
  <Characters>8784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53</cp:revision>
  <cp:lastPrinted>2018-03-05T07:33:00Z</cp:lastPrinted>
  <dcterms:created xsi:type="dcterms:W3CDTF">2016-10-06T11:40:00Z</dcterms:created>
  <dcterms:modified xsi:type="dcterms:W3CDTF">2018-04-25T11:06:00Z</dcterms:modified>
</cp:coreProperties>
</file>